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Georgia" w:cs="Georgia" w:eastAsia="Georgia" w:hAnsi="Georgia"/>
        </w:rPr>
      </w:pPr>
      <w:r w:rsidDel="00000000" w:rsidR="00000000" w:rsidRPr="00000000">
        <w:rPr>
          <w:rFonts w:ascii="Georgia" w:cs="Georgia" w:eastAsia="Georgia" w:hAnsi="Georgia"/>
          <w:rtl w:val="0"/>
        </w:rPr>
        <w:t xml:space="preserve">Running head: </w:t>
      </w:r>
      <w:r w:rsidDel="00000000" w:rsidR="00000000" w:rsidRPr="00000000">
        <w:rPr>
          <w:rFonts w:ascii="Georgia" w:cs="Georgia" w:eastAsia="Georgia" w:hAnsi="Georgia"/>
          <w:rtl w:val="0"/>
        </w:rPr>
        <w:t xml:space="preserve">RELATIONSHIP BETWEEN THE LAW AND YOUR SCHOOL</w:t>
        <w:tab/>
        <w:tab/>
      </w:r>
      <w:r w:rsidDel="00000000" w:rsidR="00000000" w:rsidRPr="00000000">
        <w:rPr>
          <w:rFonts w:ascii="Georgia" w:cs="Georgia" w:eastAsia="Georgia" w:hAnsi="Georgia"/>
          <w:rtl w:val="0"/>
        </w:rPr>
        <w:t xml:space="preserve">1</w:t>
      </w:r>
    </w:p>
    <w:p w:rsidR="00000000" w:rsidDel="00000000" w:rsidP="00000000" w:rsidRDefault="00000000" w:rsidRPr="00000000" w14:paraId="00000002">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3">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4">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5">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6">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7">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8">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9">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A">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B">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C">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D">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E">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0F">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0">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ind w:firstLine="720"/>
        <w:jc w:val="center"/>
        <w:rPr>
          <w:rFonts w:ascii="Georgia" w:cs="Georgia" w:eastAsia="Georgia" w:hAnsi="Georgia"/>
          <w:sz w:val="22"/>
          <w:szCs w:val="22"/>
        </w:rPr>
      </w:pPr>
      <w:bookmarkStart w:colFirst="0" w:colLast="0" w:name="_hxrlkwci9228" w:id="0"/>
      <w:bookmarkEnd w:id="0"/>
      <w:r w:rsidDel="00000000" w:rsidR="00000000" w:rsidRPr="00000000">
        <w:rPr>
          <w:rFonts w:ascii="Georgia" w:cs="Georgia" w:eastAsia="Georgia" w:hAnsi="Georgia"/>
          <w:sz w:val="22"/>
          <w:szCs w:val="22"/>
          <w:rtl w:val="0"/>
        </w:rPr>
        <w:t xml:space="preserve">D</w:t>
      </w:r>
      <w:r w:rsidDel="00000000" w:rsidR="00000000" w:rsidRPr="00000000">
        <w:rPr>
          <w:rFonts w:ascii="Georgia" w:cs="Georgia" w:eastAsia="Georgia" w:hAnsi="Georgia"/>
          <w:sz w:val="22"/>
          <w:szCs w:val="22"/>
          <w:rtl w:val="0"/>
        </w:rPr>
        <w:t xml:space="preserve">iscovering the Relationship Between the Law and Your School</w:t>
      </w:r>
    </w:p>
    <w:p w:rsidR="00000000" w:rsidDel="00000000" w:rsidP="00000000" w:rsidRDefault="00000000" w:rsidRPr="00000000" w14:paraId="00000012">
      <w:pPr>
        <w:spacing w:line="480" w:lineRule="auto"/>
        <w:ind w:left="3600" w:firstLine="720"/>
        <w:jc w:val="left"/>
        <w:rPr>
          <w:rFonts w:ascii="Georgia" w:cs="Georgia" w:eastAsia="Georgia" w:hAnsi="Georgia"/>
        </w:rPr>
      </w:pPr>
      <w:r w:rsidDel="00000000" w:rsidR="00000000" w:rsidRPr="00000000">
        <w:rPr>
          <w:rFonts w:ascii="Georgia" w:cs="Georgia" w:eastAsia="Georgia" w:hAnsi="Georgia"/>
          <w:rtl w:val="0"/>
        </w:rPr>
        <w:t xml:space="preserve">Casey Daniel</w:t>
      </w:r>
    </w:p>
    <w:p w:rsidR="00000000" w:rsidDel="00000000" w:rsidP="00000000" w:rsidRDefault="00000000" w:rsidRPr="00000000" w14:paraId="00000013">
      <w:pPr>
        <w:spacing w:line="480" w:lineRule="auto"/>
        <w:ind w:firstLine="720"/>
        <w:jc w:val="center"/>
        <w:rPr>
          <w:rFonts w:ascii="Georgia" w:cs="Georgia" w:eastAsia="Georgia" w:hAnsi="Georgia"/>
        </w:rPr>
      </w:pPr>
      <w:r w:rsidDel="00000000" w:rsidR="00000000" w:rsidRPr="00000000">
        <w:rPr>
          <w:rFonts w:ascii="Georgia" w:cs="Georgia" w:eastAsia="Georgia" w:hAnsi="Georgia"/>
          <w:rtl w:val="0"/>
        </w:rPr>
        <w:t xml:space="preserve">Grand Canyon University: EDU-505</w:t>
      </w:r>
    </w:p>
    <w:p w:rsidR="00000000" w:rsidDel="00000000" w:rsidP="00000000" w:rsidRDefault="00000000" w:rsidRPr="00000000" w14:paraId="00000014">
      <w:pPr>
        <w:spacing w:line="480" w:lineRule="auto"/>
        <w:ind w:firstLine="720"/>
        <w:jc w:val="center"/>
        <w:rPr>
          <w:rFonts w:ascii="Georgia" w:cs="Georgia" w:eastAsia="Georgia" w:hAnsi="Georgia"/>
        </w:rPr>
      </w:pPr>
      <w:r w:rsidDel="00000000" w:rsidR="00000000" w:rsidRPr="00000000">
        <w:rPr>
          <w:rFonts w:ascii="Georgia" w:cs="Georgia" w:eastAsia="Georgia" w:hAnsi="Georgia"/>
          <w:rtl w:val="0"/>
        </w:rPr>
        <w:t xml:space="preserve">April 10, 2019</w:t>
      </w:r>
    </w:p>
    <w:p w:rsidR="00000000" w:rsidDel="00000000" w:rsidP="00000000" w:rsidRDefault="00000000" w:rsidRPr="00000000" w14:paraId="00000015">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6">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7">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8">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9">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A">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B">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C">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D">
      <w:pPr>
        <w:spacing w:line="480" w:lineRule="auto"/>
        <w:ind w:firstLine="72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E">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1F">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0">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1">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22">
      <w:pPr>
        <w:spacing w:line="480" w:lineRule="auto"/>
        <w:ind w:left="0" w:firstLine="0"/>
        <w:jc w:val="left"/>
        <w:rPr>
          <w:rFonts w:ascii="Georgia" w:cs="Georgia" w:eastAsia="Georgia" w:hAnsi="Georgia"/>
          <w:sz w:val="20"/>
          <w:szCs w:val="20"/>
        </w:rPr>
      </w:pPr>
      <w:r w:rsidDel="00000000" w:rsidR="00000000" w:rsidRPr="00000000">
        <w:rPr>
          <w:rFonts w:ascii="Georgia" w:cs="Georgia" w:eastAsia="Georgia" w:hAnsi="Georgia"/>
          <w:sz w:val="20"/>
          <w:szCs w:val="20"/>
          <w:rtl w:val="0"/>
        </w:rPr>
        <w:tab/>
        <w:t xml:space="preserve">Becoming an administrator is an incredible achievement, but also an immense responsibility. There are exorbitant amounts of educational laws and policies that administrators must be educated and knowledgeable. Laws and policy are constantly changing, and it is the responsibility of principals to stay up-to-date on those changes. Building administrators are accountable for their buildings, faculty, but most important, their students. Handbooks and policies vary by school and district. Each school may have a specific handbook for faculty/staff to adhere to, while having a separate handbook for students and parents. To add, many school districts have a district-wide handbook that encompasses policies and laws public employees and the Board of Education must uphold. Toms River Regional Schools has a contract with the company Strauss Esmay, and follows their bylaws and policies. Toms River High School East does not have a specific faculty handbook, but does have a detailed student handbook and a student Code of Conduct. </w:t>
      </w:r>
    </w:p>
    <w:p w:rsidR="00000000" w:rsidDel="00000000" w:rsidP="00000000" w:rsidRDefault="00000000" w:rsidRPr="00000000" w14:paraId="00000023">
      <w:pPr>
        <w:spacing w:line="480" w:lineRule="auto"/>
        <w:ind w:left="0" w:firstLine="0"/>
        <w:jc w:val="left"/>
        <w:rPr>
          <w:rFonts w:ascii="Georgia" w:cs="Georgia" w:eastAsia="Georgia" w:hAnsi="Georgia"/>
          <w:sz w:val="20"/>
          <w:szCs w:val="20"/>
        </w:rPr>
      </w:pPr>
      <w:r w:rsidDel="00000000" w:rsidR="00000000" w:rsidRPr="00000000">
        <w:rPr>
          <w:rFonts w:ascii="Georgia" w:cs="Georgia" w:eastAsia="Georgia" w:hAnsi="Georgia"/>
          <w:sz w:val="20"/>
          <w:szCs w:val="20"/>
          <w:rtl w:val="0"/>
        </w:rPr>
        <w:tab/>
        <w:t xml:space="preserve">A building principal is responsible for the safety of their faculty and students. The enforcing principal must follow the school or district policies using them as a guide in decision making and writing procedures for the school. A principal cannot insert their own beliefs and attitudes into these policies. Should policies be challenged, legally following the policies with sound judgment is essential. If the principal has not followed them, there could be legal consequences for consistency, as well as clear understanding of expectations for all members of the school community. Not following and adhering to the policies will cause conflict within the school organization. Policies cannot apply to some and not to others. Consistency, with good judgment, is key. If the principal makes a decision that somehow backfires or causes a circumstance,  legal or otherwise, the fact that they followed the policy is essential and will always wok in their favor. Policies are designed to protect the health and safety of all memb</w:t>
      </w:r>
      <w:r w:rsidDel="00000000" w:rsidR="00000000" w:rsidRPr="00000000">
        <w:rPr>
          <w:rFonts w:ascii="Georgia" w:cs="Georgia" w:eastAsia="Georgia" w:hAnsi="Georgia"/>
          <w:sz w:val="24"/>
          <w:szCs w:val="24"/>
          <w:rtl w:val="0"/>
        </w:rPr>
        <w:t xml:space="preserve">ers </w:t>
      </w:r>
      <w:r w:rsidDel="00000000" w:rsidR="00000000" w:rsidRPr="00000000">
        <w:rPr>
          <w:rFonts w:ascii="Georgia" w:cs="Georgia" w:eastAsia="Georgia" w:hAnsi="Georgia"/>
          <w:sz w:val="20"/>
          <w:szCs w:val="20"/>
          <w:rtl w:val="0"/>
        </w:rPr>
        <w:t xml:space="preserve">of the school community. There cannot be exceptions. ISLLC Standard 6 calls for candidates to have knowledge of policies, laws, and regulations enacted by state, local, and federal authorities that affect schools (Stader, 2013). Without knowledge of policy and law, a principal runs the risk of making an unethical or incorrect decision pertaining to policy.</w:t>
      </w:r>
    </w:p>
    <w:p w:rsidR="00000000" w:rsidDel="00000000" w:rsidP="00000000" w:rsidRDefault="00000000" w:rsidRPr="00000000" w14:paraId="00000024">
      <w:pPr>
        <w:spacing w:line="480" w:lineRule="auto"/>
        <w:ind w:left="0" w:firstLine="0"/>
        <w:jc w:val="lef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role of the principal is imperative. A principal’s primary duty is to the pupils of the school, but there are responsibilities and decisions that principals need to make for faculty/staff as well. At Toms River Regional Schools, the The Strauss Esmay bylaws and policies emphasize the important roles a building principal is required to follow. There is tremendous responsibility placed on principals to maintain a professional and ethical staff. Just a few examples are:  </w:t>
      </w:r>
      <w:r w:rsidDel="00000000" w:rsidR="00000000" w:rsidRPr="00000000">
        <w:rPr>
          <w:rFonts w:ascii="Georgia" w:cs="Georgia" w:eastAsia="Georgia" w:hAnsi="Georgia"/>
          <w:sz w:val="20"/>
          <w:szCs w:val="20"/>
          <w:rtl w:val="0"/>
        </w:rPr>
        <w:t xml:space="preserve">District Policy 3150- DISCIPLINE and District Policy 3211- CODE OF ETHICS, which state, “The Board of Education endorses the code of ethics for professional educators published by the National Education Association. The educator, believing in the worth and dignity of each human being, recognizes the supreme importance of the pursuit of truth, devotion to excellence, and the nature of democratic principles. Essential to these goals is the protection of freedom to learn and to teach and the guarantee of equal educational opportunity for all. The educator accepts the responsibility to adhere to the highest ethical standard.”</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pacing w:after="760" w:line="480" w:lineRule="auto"/>
        <w:ind w:left="0" w:firstLine="72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There are legal consequences for failing to enforce these policies. Personal liability, legal liability for the school, the district, as well as the principal and the superintendent. After interviewing Toms River High School East Principal Patrick Thomas, and former Principal Maureen Madden, both state: </w:t>
      </w:r>
      <w:r w:rsidDel="00000000" w:rsidR="00000000" w:rsidRPr="00000000">
        <w:rPr>
          <w:rFonts w:ascii="Georgia" w:cs="Georgia" w:eastAsia="Georgia" w:hAnsi="Georgia"/>
          <w:sz w:val="20"/>
          <w:szCs w:val="20"/>
          <w:rtl w:val="0"/>
        </w:rPr>
        <w:t xml:space="preserve">The principal is ultimately responsible for everything that happens on campus.</w:t>
      </w:r>
      <w:r w:rsidDel="00000000" w:rsidR="00000000" w:rsidRPr="00000000">
        <w:rPr>
          <w:rFonts w:ascii="Georgia" w:cs="Georgia" w:eastAsia="Georgia" w:hAnsi="Georgia"/>
          <w:sz w:val="20"/>
          <w:szCs w:val="20"/>
          <w:rtl w:val="0"/>
        </w:rPr>
        <w:t xml:space="preserve"> He or she may not be accountable, but they are certainly responsible. For example, former Principal Maureen Madden explains, a parent tried to sue her as principal because his child broke his arm playing basketball after school. The fact was that the student went into the storage closet, took a basketball with his friend and started playing. A friend knocked him over and his arm broke. The parents were suing Principal Madden for lack of supervision that caused the injury. The incident happened after 5 p.m. when there are no teachers on duty. The argument was that the school did not have procedures in place to ensure that the students did not enter the area. The teachers did not lock the gym or the storage closet (which they were accountable to do) by procedure. Therefore, since the teachers did not follow the procedures associated with safety and security, the building principal was responsible since the principal supervises the teachers. It was a weak argument, since the kids knew they should not be there, but the argument was sound enough to have a lawyer take the case. The parents lost as the school has liability insurance for these situations. This is an example of how important policies and procedures are for principals to develop and enforce.</w:t>
        <w:br w:type="textWrapping"/>
        <w:tab/>
        <w:t xml:space="preserve">The school vision and mission should clearly connect to the policy. If that is done well, then the principal has a clear guide to make even the most difficult decisions. The Principal’s Message in the Toms River High School East Student Handbook directly connects to the vision of “Excellence”. Building Principal Mr. Patrick Thomas states, “At High School East, we pride ourselves on providing our students with unlimited and diverse opportunities to achieve excellence.” If administration fails to provide a safe and fair environment, chaos would ensue and trust would be lost among the faculty, students, and community. For example, drug testing, alcohol, and bullying are the most common examples of issues where the principal needs to follow clear guidelines. If a student violates a school rule that is drenched in policy and the principal responds using the policy as a guide, it is likely that the issue will be resolved clearly. </w:t>
        <w:br w:type="textWrapping"/>
        <w:tab/>
        <w:t xml:space="preserve">Following policy helps an educational leader avoid the pitfalls of the principal allowing personal feelings on the situation and the student - or relationships - cloud decision making. For example, a good kid gets caught with a knife… the principal follows procedure - even if the kid is the daughter of someone he knows or has some political leverage. </w:t>
      </w:r>
    </w:p>
    <w:p w:rsidR="00000000" w:rsidDel="00000000" w:rsidP="00000000" w:rsidRDefault="00000000" w:rsidRPr="00000000" w14:paraId="00000026">
      <w:pPr>
        <w:spacing w:line="480" w:lineRule="auto"/>
        <w:ind w:left="0" w:firstLine="72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7">
      <w:pPr>
        <w:spacing w:line="480" w:lineRule="auto"/>
        <w:ind w:left="0" w:firstLine="72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8">
      <w:pPr>
        <w:spacing w:line="480" w:lineRule="auto"/>
        <w:ind w:left="0" w:firstLine="72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9">
      <w:pPr>
        <w:spacing w:line="480" w:lineRule="auto"/>
        <w:ind w:left="0"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A">
      <w:pPr>
        <w:spacing w:line="480" w:lineRule="auto"/>
        <w:ind w:left="0"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B">
      <w:pPr>
        <w:spacing w:line="480" w:lineRule="auto"/>
        <w:ind w:left="0"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C">
      <w:pPr>
        <w:spacing w:line="480" w:lineRule="auto"/>
        <w:ind w:left="0"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D">
      <w:pPr>
        <w:spacing w:line="480" w:lineRule="auto"/>
        <w:ind w:left="0"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E">
      <w:pPr>
        <w:spacing w:line="480" w:lineRule="auto"/>
        <w:ind w:left="0"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F">
      <w:pPr>
        <w:spacing w:line="480" w:lineRule="auto"/>
        <w:ind w:left="0"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0">
      <w:pPr>
        <w:spacing w:line="480" w:lineRule="auto"/>
        <w:ind w:left="0" w:firstLine="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1">
      <w:pPr>
        <w:spacing w:line="480" w:lineRule="auto"/>
        <w:ind w:left="0" w:firstLine="0"/>
        <w:jc w:val="lef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References</w:t>
        <w:br w:type="textWrapping"/>
      </w:r>
      <w:r w:rsidDel="00000000" w:rsidR="00000000" w:rsidRPr="00000000">
        <w:rPr>
          <w:rFonts w:ascii="Georgia" w:cs="Georgia" w:eastAsia="Georgia" w:hAnsi="Georgia"/>
          <w:color w:val="333333"/>
          <w:sz w:val="20"/>
          <w:szCs w:val="20"/>
          <w:rtl w:val="0"/>
        </w:rPr>
        <w:t xml:space="preserve">Madden, M. (2019, April 4). School Policy [Telephone interview].</w:t>
      </w:r>
      <w:r w:rsidDel="00000000" w:rsidR="00000000" w:rsidRPr="00000000">
        <w:rPr>
          <w:rtl w:val="0"/>
        </w:rPr>
      </w:r>
    </w:p>
    <w:p w:rsidR="00000000" w:rsidDel="00000000" w:rsidP="00000000" w:rsidRDefault="00000000" w:rsidRPr="00000000" w14:paraId="00000032">
      <w:pPr>
        <w:spacing w:line="480" w:lineRule="auto"/>
        <w:ind w:left="0" w:firstLine="0"/>
        <w:jc w:val="lef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Stader, D. L. (2013). </w:t>
      </w:r>
      <w:r w:rsidDel="00000000" w:rsidR="00000000" w:rsidRPr="00000000">
        <w:rPr>
          <w:rFonts w:ascii="Georgia" w:cs="Georgia" w:eastAsia="Georgia" w:hAnsi="Georgia"/>
          <w:i w:val="1"/>
          <w:sz w:val="20"/>
          <w:szCs w:val="20"/>
          <w:rtl w:val="0"/>
        </w:rPr>
        <w:t xml:space="preserve">Law and ethics in educational leadership</w:t>
      </w:r>
      <w:r w:rsidDel="00000000" w:rsidR="00000000" w:rsidRPr="00000000">
        <w:rPr>
          <w:rFonts w:ascii="Georgia" w:cs="Georgia" w:eastAsia="Georgia" w:hAnsi="Georgia"/>
          <w:sz w:val="20"/>
          <w:szCs w:val="20"/>
          <w:rtl w:val="0"/>
        </w:rPr>
        <w:t xml:space="preserve">. Boston: Pearson</w:t>
      </w:r>
    </w:p>
    <w:p w:rsidR="00000000" w:rsidDel="00000000" w:rsidP="00000000" w:rsidRDefault="00000000" w:rsidRPr="00000000" w14:paraId="00000033">
      <w:pPr>
        <w:spacing w:line="480" w:lineRule="auto"/>
        <w:ind w:left="0" w:firstLine="0"/>
        <w:jc w:val="lef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Strauss Esmay. Toms River Regional Board of Education. Toms River Regional Schools. Toms River NJ.</w:t>
        <w:br w:type="textWrapping"/>
      </w:r>
      <w:hyperlink r:id="rId6">
        <w:r w:rsidDel="00000000" w:rsidR="00000000" w:rsidRPr="00000000">
          <w:rPr>
            <w:rFonts w:ascii="Georgia" w:cs="Georgia" w:eastAsia="Georgia" w:hAnsi="Georgia"/>
            <w:sz w:val="20"/>
            <w:szCs w:val="20"/>
            <w:u w:val="single"/>
            <w:rtl w:val="0"/>
          </w:rPr>
          <w:t xml:space="preserve">https://www.straussesmay.com/seportal/Public/DistrictPolicyTOC.aspx?id=0e1d1b55c5644d6496660d0d1c675905</w:t>
        </w:r>
      </w:hyperlink>
      <w:r w:rsidDel="00000000" w:rsidR="00000000" w:rsidRPr="00000000">
        <w:rPr>
          <w:rFonts w:ascii="Georgia" w:cs="Georgia" w:eastAsia="Georgia" w:hAnsi="Georgia"/>
          <w:sz w:val="20"/>
          <w:szCs w:val="20"/>
          <w:u w:val="single"/>
          <w:rtl w:val="0"/>
        </w:rPr>
        <w:t xml:space="preserve"> </w:t>
      </w:r>
      <w:r w:rsidDel="00000000" w:rsidR="00000000" w:rsidRPr="00000000">
        <w:rPr>
          <w:rFonts w:ascii="Georgia" w:cs="Georgia" w:eastAsia="Georgia" w:hAnsi="Georgia"/>
          <w:sz w:val="20"/>
          <w:szCs w:val="20"/>
          <w:rtl w:val="0"/>
        </w:rPr>
        <w:t xml:space="preserve">2019 4 April.</w:t>
      </w:r>
    </w:p>
    <w:p w:rsidR="00000000" w:rsidDel="00000000" w:rsidP="00000000" w:rsidRDefault="00000000" w:rsidRPr="00000000" w14:paraId="00000034">
      <w:pPr>
        <w:spacing w:line="480" w:lineRule="auto"/>
        <w:ind w:left="0" w:firstLine="0"/>
        <w:jc w:val="left"/>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Thomas, P. (2019, April 5) School Policy [Email interview].</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pacing w:line="276"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Relationship Between Law and Your School</w:t>
      <w:tab/>
      <w:tab/>
      <w:tab/>
      <w:tab/>
      <w:tab/>
      <w:tab/>
      <w:tab/>
      <w:t xml:space="preserve">2</w:t>
    </w:r>
  </w:p>
  <w:p w:rsidR="00000000" w:rsidDel="00000000" w:rsidP="00000000" w:rsidRDefault="00000000" w:rsidRPr="00000000" w14:paraId="00000036">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7">
    <w:pPr>
      <w:jc w:val="right"/>
      <w:rPr>
        <w:rFonts w:ascii="Georgia" w:cs="Georgia" w:eastAsia="Georgia" w:hAnsi="Georgia"/>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rFonts w:ascii="Georgia" w:cs="Georgia" w:eastAsia="Georgia" w:hAnsi="Georgia"/>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traussesmay.com/seportal/Public/DistrictPolicyTOC.aspx?id=0e1d1b55c5644d6496660d0d1c675905"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