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4" w:val="single"/>
          <w:right w:color="000000" w:space="4" w:sz="4" w:val="single"/>
        </w:pBdr>
        <w:shd w:fill="bfbfbf" w:val="clear"/>
        <w:spacing w:after="110" w:before="110" w:line="240" w:lineRule="auto"/>
        <w:jc w:val="center"/>
        <w:rPr>
          <w:rFonts w:ascii="Times New Roman" w:cs="Times New Roman" w:eastAsia="Times New Roman" w:hAnsi="Times New Roman"/>
          <w:sz w:val="22"/>
          <w:szCs w:val="22"/>
        </w:rPr>
      </w:pPr>
      <w:bookmarkStart w:colFirst="0" w:colLast="0" w:name="_gjdgxs" w:id="0"/>
      <w:bookmarkEnd w:id="0"/>
      <w:r w:rsidDel="00000000" w:rsidR="00000000" w:rsidRPr="00000000">
        <w:rPr>
          <w:rFonts w:ascii="Times New Roman" w:cs="Times New Roman" w:eastAsia="Times New Roman" w:hAnsi="Times New Roman"/>
          <w:b w:val="1"/>
          <w:i w:val="1"/>
          <w:color w:val="000000"/>
          <w:sz w:val="28"/>
          <w:szCs w:val="28"/>
          <w:rtl w:val="0"/>
        </w:rPr>
        <w:t xml:space="preserve">Critical Event Reflection</w:t>
      </w:r>
      <w:r w:rsidDel="00000000" w:rsidR="00000000" w:rsidRPr="00000000">
        <w:rPr>
          <w:rtl w:val="0"/>
        </w:rPr>
      </w:r>
    </w:p>
    <w:tbl>
      <w:tblPr>
        <w:tblStyle w:val="Table1"/>
        <w:tblW w:w="94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4410"/>
        <w:tblGridChange w:id="0">
          <w:tblGrid>
            <w:gridCol w:w="5040"/>
            <w:gridCol w:w="4410"/>
          </w:tblGrid>
        </w:tblGridChange>
      </w:tblGrid>
      <w:tr>
        <w:trPr>
          <w:trHeight w:val="5700" w:hRule="atLeast"/>
        </w:trPr>
        <w:tc>
          <w:tcPr>
            <w:gridSpan w:val="2"/>
            <w:shd w:fill="e5dfec" w:val="clear"/>
          </w:tcPr>
          <w:p w:rsidR="00000000" w:rsidDel="00000000" w:rsidP="00000000" w:rsidRDefault="00000000" w:rsidRPr="00000000" w14:paraId="00000002">
            <w:pPr>
              <w:numPr>
                <w:ilvl w:val="0"/>
                <w:numId w:val="3"/>
              </w:numPr>
              <w:ind w:left="360" w:hanging="360"/>
              <w:rPr>
                <w:rFonts w:ascii="Merriweather" w:cs="Merriweather" w:eastAsia="Merriweather" w:hAnsi="Merriweather"/>
                <w:b w:val="1"/>
              </w:rPr>
            </w:pPr>
            <w:r w:rsidDel="00000000" w:rsidR="00000000" w:rsidRPr="00000000">
              <w:rPr>
                <w:rFonts w:ascii="Merriweather" w:cs="Merriweather" w:eastAsia="Merriweather" w:hAnsi="Merriweather"/>
                <w:b w:val="1"/>
                <w:rtl w:val="0"/>
              </w:rPr>
              <w:t xml:space="preserve">What were the setting and circumstance of the critical event? </w:t>
            </w:r>
          </w:p>
          <w:p w:rsidR="00000000" w:rsidDel="00000000" w:rsidP="00000000" w:rsidRDefault="00000000" w:rsidRPr="00000000" w14:paraId="0000000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interviewed and spent time in the field with Mentor Principal, Mr. Patrick Thomas. We discussed the importance of professional development and how and why it is effective in terms of staff and student growth. Mr. Thomas elaborated on his goals for the year, and his long-term vision and goals for the school. Mr. Thomas discussed the importance of developing personal vision/mission statements. He emphasized his focus on infusing objectives into the school setting to have a greater impact on school outcomes.  Mr. Thomas presented the calendar of workshops that will be provided to staff, students, and parents for the 2019-2020 school year. His main focus of the year is priorities and developing strategies and a means of assessing our success. Mr. Thomas is very data-driven and conducts thorough research before presenting ideas to staff, students, and parents. He elaborated on identifying the strengths of various teachers and how to nurture and support those teachers so they in turn present workshops and continue to become agents of change. Mr. Thomas even discussed his plans to hold workshops for parents to improve community awareness. Through this practice, his workshops are effective and provide learning and structure. </w:t>
            </w:r>
          </w:p>
          <w:p w:rsidR="00000000" w:rsidDel="00000000" w:rsidP="00000000" w:rsidRDefault="00000000" w:rsidRPr="00000000" w14:paraId="00000004">
            <w:pPr>
              <w:ind w:left="0" w:firstLine="0"/>
              <w:rPr>
                <w:rFonts w:ascii="Merriweather" w:cs="Merriweather" w:eastAsia="Merriweather" w:hAnsi="Merriweather"/>
              </w:rPr>
            </w:pPr>
            <w:r w:rsidDel="00000000" w:rsidR="00000000" w:rsidRPr="00000000">
              <w:rPr>
                <w:rtl w:val="0"/>
              </w:rPr>
            </w:r>
          </w:p>
        </w:tc>
      </w:tr>
      <w:tr>
        <w:trPr>
          <w:trHeight w:val="1280" w:hRule="atLeast"/>
        </w:trPr>
        <w:tc>
          <w:tcPr>
            <w:shd w:fill="auto" w:val="clear"/>
          </w:tcPr>
          <w:p w:rsidR="00000000" w:rsidDel="00000000" w:rsidP="00000000" w:rsidRDefault="00000000" w:rsidRPr="00000000" w14:paraId="00000006">
            <w:pPr>
              <w:numPr>
                <w:ilvl w:val="0"/>
                <w:numId w:val="3"/>
              </w:numPr>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occurred, and what choices were made?</w:t>
            </w:r>
          </w:p>
          <w:p w:rsidR="00000000" w:rsidDel="00000000" w:rsidP="00000000" w:rsidRDefault="00000000" w:rsidRPr="00000000" w14:paraId="00000007">
            <w:pPr>
              <w:numPr>
                <w:ilvl w:val="0"/>
                <w:numId w:val="2"/>
              </w:numPr>
              <w:spacing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Thomas discussed his goals and vision in terms of professional development for the year.</w:t>
            </w:r>
          </w:p>
          <w:p w:rsidR="00000000" w:rsidDel="00000000" w:rsidP="00000000" w:rsidRDefault="00000000" w:rsidRPr="00000000" w14:paraId="00000008">
            <w:pPr>
              <w:numPr>
                <w:ilvl w:val="0"/>
                <w:numId w:val="2"/>
              </w:numPr>
              <w:spacing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Thomas emphasized the importance of prioritizing and creating effective and structured professional development concepts.</w:t>
            </w:r>
          </w:p>
          <w:p w:rsidR="00000000" w:rsidDel="00000000" w:rsidP="00000000" w:rsidRDefault="00000000" w:rsidRPr="00000000" w14:paraId="00000009">
            <w:pPr>
              <w:numPr>
                <w:ilvl w:val="0"/>
                <w:numId w:val="2"/>
              </w:numPr>
              <w:spacing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Mr. Thomas discussed the importance of being an agent of change in education. </w:t>
            </w:r>
          </w:p>
          <w:p w:rsidR="00000000" w:rsidDel="00000000" w:rsidP="00000000" w:rsidRDefault="00000000" w:rsidRPr="00000000" w14:paraId="0000000A">
            <w:pPr>
              <w:numPr>
                <w:ilvl w:val="0"/>
                <w:numId w:val="2"/>
              </w:numPr>
              <w:spacing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Mr. Thomas details the importance of wellness and mindfulness incorporation in professional development for students and staff. </w:t>
            </w:r>
          </w:p>
          <w:p w:rsidR="00000000" w:rsidDel="00000000" w:rsidP="00000000" w:rsidRDefault="00000000" w:rsidRPr="00000000" w14:paraId="0000000B">
            <w:pPr>
              <w:numPr>
                <w:ilvl w:val="0"/>
                <w:numId w:val="2"/>
              </w:numPr>
              <w:spacing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Mr. Thomas demonstrated the importance of data and how data must be the driving force to change and how change takes place through growth and having difficult conversations in education.</w:t>
            </w:r>
          </w:p>
          <w:p w:rsidR="00000000" w:rsidDel="00000000" w:rsidP="00000000" w:rsidRDefault="00000000" w:rsidRPr="00000000" w14:paraId="0000000C">
            <w:pPr>
              <w:numPr>
                <w:ilvl w:val="0"/>
                <w:numId w:val="2"/>
              </w:numPr>
              <w:spacing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Mr. Thomas discussed how the school improvement plan (CIP) is supported through the professional development incentives.</w:t>
            </w:r>
          </w:p>
          <w:p w:rsidR="00000000" w:rsidDel="00000000" w:rsidP="00000000" w:rsidRDefault="00000000" w:rsidRPr="00000000" w14:paraId="0000000D">
            <w:pPr>
              <w:numPr>
                <w:ilvl w:val="0"/>
                <w:numId w:val="2"/>
              </w:numPr>
              <w:spacing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Mr. Thomas discussed the importance of having incentives for teachers that have not completely “bought into” the concept of professional development and its effectiveness.</w:t>
            </w:r>
          </w:p>
          <w:p w:rsidR="00000000" w:rsidDel="00000000" w:rsidP="00000000" w:rsidRDefault="00000000" w:rsidRPr="00000000" w14:paraId="0000000E">
            <w:pPr>
              <w:numPr>
                <w:ilvl w:val="0"/>
                <w:numId w:val="2"/>
              </w:numPr>
              <w:spacing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Mr. Thomas discussed how he identifies teachers leaders.</w:t>
            </w:r>
          </w:p>
          <w:p w:rsidR="00000000" w:rsidDel="00000000" w:rsidP="00000000" w:rsidRDefault="00000000" w:rsidRPr="00000000" w14:paraId="0000000F">
            <w:pPr>
              <w:numPr>
                <w:ilvl w:val="0"/>
                <w:numId w:val="2"/>
              </w:numPr>
              <w:spacing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Mr. Thomas spoke about how to identify teacher strengths and turn key those teachers and their innovative ideas into professional development workshops.</w:t>
            </w:r>
          </w:p>
          <w:p w:rsidR="00000000" w:rsidDel="00000000" w:rsidP="00000000" w:rsidRDefault="00000000" w:rsidRPr="00000000" w14:paraId="00000010">
            <w:pPr>
              <w:numPr>
                <w:ilvl w:val="0"/>
                <w:numId w:val="2"/>
              </w:numPr>
              <w:spacing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Mr. Thomas discussed the importance of aligning all professional development workshops and incentives to the school and district vision and mission. </w:t>
            </w:r>
          </w:p>
          <w:p w:rsidR="00000000" w:rsidDel="00000000" w:rsidP="00000000" w:rsidRDefault="00000000" w:rsidRPr="00000000" w14:paraId="00000011">
            <w:pPr>
              <w:numPr>
                <w:ilvl w:val="0"/>
                <w:numId w:val="2"/>
              </w:numPr>
              <w:spacing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Mr. Thomas discussed how professional development and growth, while holding small collaborative PLC’s will support a culture of excellence. </w:t>
            </w:r>
          </w:p>
          <w:p w:rsidR="00000000" w:rsidDel="00000000" w:rsidP="00000000" w:rsidRDefault="00000000" w:rsidRPr="00000000" w14:paraId="00000012">
            <w:pPr>
              <w:rPr>
                <w:rFonts w:ascii="Times New Roman" w:cs="Times New Roman" w:eastAsia="Times New Roman" w:hAnsi="Times New Roman"/>
                <w:i w:val="1"/>
                <w:sz w:val="24"/>
                <w:szCs w:val="24"/>
              </w:rPr>
            </w:pPr>
            <w:r w:rsidDel="00000000" w:rsidR="00000000" w:rsidRPr="00000000">
              <w:rPr>
                <w:rtl w:val="0"/>
              </w:rPr>
            </w:r>
          </w:p>
        </w:tc>
        <w:tc>
          <w:tcPr>
            <w:shd w:fill="auto" w:val="clear"/>
          </w:tcPr>
          <w:p w:rsidR="00000000" w:rsidDel="00000000" w:rsidP="00000000" w:rsidRDefault="00000000" w:rsidRPr="00000000" w14:paraId="00000013">
            <w:pPr>
              <w:numPr>
                <w:ilvl w:val="0"/>
                <w:numId w:val="3"/>
              </w:numPr>
              <w:spacing w:after="0" w:afterAutospacing="0"/>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were you thinking and feeling? </w:t>
            </w:r>
          </w:p>
          <w:p w:rsidR="00000000" w:rsidDel="00000000" w:rsidP="00000000" w:rsidRDefault="00000000" w:rsidRPr="00000000" w14:paraId="00000014">
            <w:pPr>
              <w:numPr>
                <w:ilvl w:val="0"/>
                <w:numId w:val="1"/>
              </w:numPr>
              <w:spacing w:after="0" w:afterAutospacing="0" w:before="0" w:beforeAutospacing="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was impressed with Mr. Thomas’ vision, his transformational leadership style, and his drive to promote better student outcomes. </w:t>
            </w:r>
          </w:p>
          <w:p w:rsidR="00000000" w:rsidDel="00000000" w:rsidP="00000000" w:rsidRDefault="00000000" w:rsidRPr="00000000" w14:paraId="00000015">
            <w:pPr>
              <w:numPr>
                <w:ilvl w:val="0"/>
                <w:numId w:val="1"/>
              </w:numPr>
              <w:spacing w:after="0" w:afterAutospacing="0" w:before="0" w:beforeAutospacing="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helped Mr. Thomas create the professional development schedule for the year through my first internship, therefore, I was aware of the structure and concepts that he wished to focus on. </w:t>
            </w:r>
          </w:p>
          <w:p w:rsidR="00000000" w:rsidDel="00000000" w:rsidP="00000000" w:rsidRDefault="00000000" w:rsidRPr="00000000" w14:paraId="00000016">
            <w:pPr>
              <w:numPr>
                <w:ilvl w:val="0"/>
                <w:numId w:val="1"/>
              </w:numPr>
              <w:spacing w:after="0" w:afterAutospacing="0" w:before="0" w:beforeAutospacing="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have bought into Mr. Thomas’ vision and support all the changes he wishes to implement at HS East. </w:t>
            </w:r>
          </w:p>
          <w:p w:rsidR="00000000" w:rsidDel="00000000" w:rsidP="00000000" w:rsidRDefault="00000000" w:rsidRPr="00000000" w14:paraId="00000017">
            <w:pPr>
              <w:numPr>
                <w:ilvl w:val="0"/>
                <w:numId w:val="1"/>
              </w:numPr>
              <w:spacing w:after="0" w:afterAutospacing="0" w:before="0" w:beforeAutospacing="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am impressed by Mr. Thomas’ willingness to have these hard conversations with staff and students about the difficulties of wellness. Many schools do not see the “whole child” or the “whole teacher”, therefore, it creates a culture of stress, rather than growth and mindfulness. </w:t>
            </w:r>
          </w:p>
          <w:p w:rsidR="00000000" w:rsidDel="00000000" w:rsidP="00000000" w:rsidRDefault="00000000" w:rsidRPr="00000000" w14:paraId="00000018">
            <w:pPr>
              <w:numPr>
                <w:ilvl w:val="0"/>
                <w:numId w:val="1"/>
              </w:numPr>
              <w:spacing w:after="0" w:afterAutospacing="0" w:before="0" w:beforeAutospacing="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used to not believe in the importance of data, but through time spent in the field and my graduate studies, it is imperative. </w:t>
            </w:r>
          </w:p>
          <w:p w:rsidR="00000000" w:rsidDel="00000000" w:rsidP="00000000" w:rsidRDefault="00000000" w:rsidRPr="00000000" w14:paraId="00000019">
            <w:pPr>
              <w:numPr>
                <w:ilvl w:val="0"/>
                <w:numId w:val="1"/>
              </w:numPr>
              <w:spacing w:after="0" w:afterAutospacing="0" w:before="0" w:beforeAutospacing="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think providing incentives is essential to teacher buy-in for professional development opportunities. </w:t>
            </w:r>
          </w:p>
          <w:p w:rsidR="00000000" w:rsidDel="00000000" w:rsidP="00000000" w:rsidRDefault="00000000" w:rsidRPr="00000000" w14:paraId="0000001A">
            <w:pPr>
              <w:numPr>
                <w:ilvl w:val="0"/>
                <w:numId w:val="1"/>
              </w:numPr>
              <w:spacing w:after="0" w:afterAutospacing="0" w:before="0" w:beforeAutospacing="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feel as if the way that Mr. Thomas identifies teacher leaders and teacher strengths will be integral when I step into a leadership position. He has the ability to hone in on those strengths and teachers and builds a foundation and trust. </w:t>
            </w:r>
          </w:p>
          <w:p w:rsidR="00000000" w:rsidDel="00000000" w:rsidP="00000000" w:rsidRDefault="00000000" w:rsidRPr="00000000" w14:paraId="0000001B">
            <w:pPr>
              <w:numPr>
                <w:ilvl w:val="0"/>
                <w:numId w:val="1"/>
              </w:numPr>
              <w:spacing w:before="0" w:beforeAutospacing="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Mr. Thomas has a vision that supports a culture of excellence, and I will model his visionary and transformational style when I step into a leadership position. </w:t>
            </w:r>
          </w:p>
        </w:tc>
      </w:tr>
      <w:tr>
        <w:trPr>
          <w:trHeight w:val="4020" w:hRule="atLeast"/>
        </w:trPr>
        <w:tc>
          <w:tcPr>
            <w:gridSpan w:val="2"/>
            <w:shd w:fill="e5dfec" w:val="clear"/>
          </w:tcPr>
          <w:p w:rsidR="00000000" w:rsidDel="00000000" w:rsidP="00000000" w:rsidRDefault="00000000" w:rsidRPr="00000000" w14:paraId="0000001C">
            <w:pPr>
              <w:numPr>
                <w:ilvl w:val="0"/>
                <w:numId w:val="3"/>
              </w:numPr>
              <w:ind w:left="360" w:hanging="360"/>
              <w:rPr>
                <w:rFonts w:ascii="Merriweather" w:cs="Merriweather" w:eastAsia="Merriweather" w:hAnsi="Merriweather"/>
                <w:b w:val="1"/>
              </w:rPr>
            </w:pPr>
            <w:r w:rsidDel="00000000" w:rsidR="00000000" w:rsidRPr="00000000">
              <w:rPr>
                <w:rFonts w:ascii="Merriweather" w:cs="Merriweather" w:eastAsia="Merriweather" w:hAnsi="Merriweather"/>
                <w:b w:val="1"/>
                <w:rtl w:val="0"/>
              </w:rPr>
              <w:t xml:space="preserve">Reflect on what the event means to you now in the context of your research base.</w:t>
            </w:r>
            <w:r w:rsidDel="00000000" w:rsidR="00000000" w:rsidRPr="00000000">
              <w:rPr>
                <w:rtl w:val="0"/>
              </w:rPr>
            </w:r>
          </w:p>
          <w:p w:rsidR="00000000" w:rsidDel="00000000" w:rsidP="00000000" w:rsidRDefault="00000000" w:rsidRPr="00000000" w14:paraId="0000001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this time spent in the field, I have a better understanding of how to best implement a professional development program. Mr. Thomas emphasized the professional development program must align with the school’s continuous improvement plan and align district goals. Through this time in the field, I understood the importance of creating and prioritizing effective professional development that supports and utilizes resources that support staff in areas of need. Mr. Thomas has thoroughly researched his professional development topics and has a clear purpose for the school. Being a strong and transformational leader is imperative, and including teachers is the process is also important. Mr. Thomas explained how he nurtures and supports his teacher leaders, and this, in turn, supports new incentives and ideas in professional development. This concept is supported in the article, “Pressing Forward with Professional Development”. Through effective professional development, teachers can enhance classroom instruction, instructional capacity, and student engagement and improvement. “Effective professional development can support efforts to increase rigor in your school” (Blackburn &amp; Williamson, 2010). </w:t>
            </w:r>
          </w:p>
        </w:tc>
      </w:tr>
      <w:tr>
        <w:trPr>
          <w:trHeight w:val="1280" w:hRule="atLeast"/>
        </w:trPr>
        <w:tc>
          <w:tcPr>
            <w:gridSpan w:val="2"/>
            <w:shd w:fill="auto" w:val="clear"/>
          </w:tcPr>
          <w:p w:rsidR="00000000" w:rsidDel="00000000" w:rsidP="00000000" w:rsidRDefault="00000000" w:rsidRPr="00000000" w14:paraId="0000001F">
            <w:pPr>
              <w:numPr>
                <w:ilvl w:val="0"/>
                <w:numId w:val="3"/>
              </w:numPr>
              <w:ind w:left="360" w:hanging="360"/>
              <w:rPr>
                <w:rFonts w:ascii="Merriweather" w:cs="Merriweather" w:eastAsia="Merriweather" w:hAnsi="Merriweather"/>
                <w:b w:val="1"/>
              </w:rPr>
            </w:pPr>
            <w:r w:rsidDel="00000000" w:rsidR="00000000" w:rsidRPr="00000000">
              <w:rPr>
                <w:rFonts w:ascii="Merriweather" w:cs="Merriweather" w:eastAsia="Merriweather" w:hAnsi="Merriweather"/>
                <w:b w:val="1"/>
                <w:rtl w:val="0"/>
              </w:rPr>
              <w:t xml:space="preserve">Consider the implications these insights have for your practice. </w:t>
            </w:r>
          </w:p>
          <w:p w:rsidR="00000000" w:rsidDel="00000000" w:rsidP="00000000" w:rsidRDefault="00000000" w:rsidRPr="00000000" w14:paraId="00000020">
            <w:pPr>
              <w:ind w:left="360"/>
              <w:rPr>
                <w:rFonts w:ascii="Merriweather" w:cs="Merriweather" w:eastAsia="Merriweather" w:hAnsi="Merriweather"/>
                <w:b w:val="1"/>
              </w:rPr>
            </w:pPr>
            <w:r w:rsidDel="00000000" w:rsidR="00000000" w:rsidRPr="00000000">
              <w:rPr>
                <w:rtl w:val="0"/>
              </w:rPr>
            </w:r>
          </w:p>
          <w:p w:rsidR="00000000" w:rsidDel="00000000" w:rsidP="00000000" w:rsidRDefault="00000000" w:rsidRPr="00000000" w14:paraId="00000021">
            <w:pPr>
              <w:spacing w:line="48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time in the field with Mr. Thomas gave me insight into the importance of purpose and meaning to everything we do in education. Mr. Thomas is a firm believer that we have the power to be agents of change. His transformational style, and his courage to have the hard conversations that must be had in education, showcase the difficulties that administrators face on a day-to-day basis. Professional development is only one of the many layers in being an effective leader, and running a school of excellence. Through prioritizing and supporting findings with evidence and data-based research, there must be a strong purpose in educational stakeholders do. Through Mr. Thomas’ vision, I learned that developing a mindset that you are capable of learning is essential to high achievement.  We are all human and we all have the capability to learn</w:t>
            </w:r>
          </w:p>
          <w:p w:rsidR="00000000" w:rsidDel="00000000" w:rsidP="00000000" w:rsidRDefault="00000000" w:rsidRPr="00000000" w14:paraId="00000022">
            <w:pPr>
              <w:ind w:left="0" w:firstLine="0"/>
              <w:rPr>
                <w:rFonts w:ascii="Times New Roman" w:cs="Times New Roman" w:eastAsia="Times New Roman" w:hAnsi="Times New Roman"/>
                <w:sz w:val="24"/>
                <w:szCs w:val="24"/>
              </w:rPr>
            </w:pPr>
            <w:r w:rsidDel="00000000" w:rsidR="00000000" w:rsidRPr="00000000">
              <w:rPr>
                <w:rtl w:val="0"/>
              </w:rPr>
            </w:r>
          </w:p>
        </w:tc>
      </w:tr>
      <w:tr>
        <w:trPr>
          <w:trHeight w:val="6500" w:hRule="atLeast"/>
        </w:trPr>
        <w:tc>
          <w:tcPr>
            <w:gridSpan w:val="2"/>
            <w:shd w:fill="e5dfec" w:val="clear"/>
          </w:tcPr>
          <w:p w:rsidR="00000000" w:rsidDel="00000000" w:rsidP="00000000" w:rsidRDefault="00000000" w:rsidRPr="00000000" w14:paraId="00000024">
            <w:pPr>
              <w:numPr>
                <w:ilvl w:val="0"/>
                <w:numId w:val="3"/>
              </w:numPr>
              <w:ind w:left="360" w:hanging="360"/>
              <w:rPr>
                <w:rFonts w:ascii="Merriweather" w:cs="Merriweather" w:eastAsia="Merriweather" w:hAnsi="Merriweather"/>
                <w:b w:val="1"/>
              </w:rPr>
            </w:pPr>
            <w:r w:rsidDel="00000000" w:rsidR="00000000" w:rsidRPr="00000000">
              <w:rPr>
                <w:rFonts w:ascii="Merriweather" w:cs="Merriweather" w:eastAsia="Merriweather" w:hAnsi="Merriweather"/>
                <w:b w:val="1"/>
                <w:rtl w:val="0"/>
              </w:rPr>
              <w:t xml:space="preserve">Aligned leadership skills and professional dispositions reflected and/or warranted in this event.</w:t>
            </w:r>
          </w:p>
          <w:p w:rsidR="00000000" w:rsidDel="00000000" w:rsidP="00000000" w:rsidRDefault="00000000" w:rsidRPr="00000000" w14:paraId="00000025">
            <w:pPr>
              <w:ind w:left="0" w:firstLine="0"/>
              <w:rPr>
                <w:rFonts w:ascii="Times New Roman" w:cs="Times New Roman" w:eastAsia="Times New Roman" w:hAnsi="Times New Roman"/>
                <w:color w:val="222222"/>
                <w:sz w:val="24"/>
                <w:szCs w:val="24"/>
                <w:shd w:fill="e5dfec" w:val="clear"/>
              </w:rPr>
            </w:pPr>
            <w:r w:rsidDel="00000000" w:rsidR="00000000" w:rsidRPr="00000000">
              <w:rPr>
                <w:rFonts w:ascii="Times New Roman" w:cs="Times New Roman" w:eastAsia="Times New Roman" w:hAnsi="Times New Roman"/>
                <w:b w:val="1"/>
                <w:color w:val="222222"/>
                <w:sz w:val="24"/>
                <w:szCs w:val="24"/>
                <w:shd w:fill="e5dfec" w:val="clear"/>
                <w:rtl w:val="0"/>
              </w:rPr>
              <w:t xml:space="preserve">Standard 1: </w:t>
            </w:r>
            <w:r w:rsidDel="00000000" w:rsidR="00000000" w:rsidRPr="00000000">
              <w:rPr>
                <w:rFonts w:ascii="Times New Roman" w:cs="Times New Roman" w:eastAsia="Times New Roman" w:hAnsi="Times New Roman"/>
                <w:color w:val="222222"/>
                <w:sz w:val="24"/>
                <w:szCs w:val="24"/>
                <w:shd w:fill="e5dfec" w:val="clear"/>
                <w:rtl w:val="0"/>
              </w:rPr>
              <w:t xml:space="preserve">An education leader promotes the success of every student by facilitating the development, articulation, implementation, and stewardship of a vision of learning that is shared and supported by all stakeholders.</w:t>
            </w:r>
          </w:p>
          <w:p w:rsidR="00000000" w:rsidDel="00000000" w:rsidP="00000000" w:rsidRDefault="00000000" w:rsidRPr="00000000" w14:paraId="00000026">
            <w:pPr>
              <w:ind w:left="0" w:firstLine="0"/>
              <w:rPr>
                <w:rFonts w:ascii="Times New Roman" w:cs="Times New Roman" w:eastAsia="Times New Roman" w:hAnsi="Times New Roman"/>
                <w:color w:val="222222"/>
                <w:sz w:val="24"/>
                <w:szCs w:val="24"/>
                <w:shd w:fill="e5dfec" w:val="clear"/>
              </w:rPr>
            </w:pPr>
            <w:r w:rsidDel="00000000" w:rsidR="00000000" w:rsidRPr="00000000">
              <w:rPr>
                <w:rFonts w:ascii="Times New Roman" w:cs="Times New Roman" w:eastAsia="Times New Roman" w:hAnsi="Times New Roman"/>
                <w:b w:val="1"/>
                <w:color w:val="222222"/>
                <w:sz w:val="24"/>
                <w:szCs w:val="24"/>
                <w:shd w:fill="e5dfec" w:val="clear"/>
                <w:rtl w:val="0"/>
              </w:rPr>
              <w:t xml:space="preserve">Standard 5:</w:t>
            </w:r>
            <w:r w:rsidDel="00000000" w:rsidR="00000000" w:rsidRPr="00000000">
              <w:rPr>
                <w:rFonts w:ascii="Times New Roman" w:cs="Times New Roman" w:eastAsia="Times New Roman" w:hAnsi="Times New Roman"/>
                <w:color w:val="222222"/>
                <w:sz w:val="24"/>
                <w:szCs w:val="24"/>
                <w:shd w:fill="e5dfec" w:val="clear"/>
                <w:rtl w:val="0"/>
              </w:rPr>
              <w:t xml:space="preserve"> An education leader promotes the success of every student by acting with integrity, fairness, and in an ethical manner. </w:t>
              <w:br w:type="textWrapping"/>
            </w:r>
          </w:p>
          <w:p w:rsidR="00000000" w:rsidDel="00000000" w:rsidP="00000000" w:rsidRDefault="00000000" w:rsidRPr="00000000" w14:paraId="00000027">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22222"/>
                <w:sz w:val="24"/>
                <w:szCs w:val="24"/>
                <w:shd w:fill="e5dfec" w:val="clear"/>
                <w:rtl w:val="0"/>
              </w:rPr>
              <w:t xml:space="preserve">ISLLC standards 1 and 5 are both essential supporting and developing a sound professional development plan that is effective and has a clear, defined purpose. </w:t>
            </w:r>
            <w:r w:rsidDel="00000000" w:rsidR="00000000" w:rsidRPr="00000000">
              <w:rPr>
                <w:rtl w:val="0"/>
              </w:rPr>
            </w:r>
          </w:p>
          <w:p w:rsidR="00000000" w:rsidDel="00000000" w:rsidP="00000000" w:rsidRDefault="00000000" w:rsidRPr="00000000" w14:paraId="00000028">
            <w:pPr>
              <w:rPr>
                <w:rFonts w:ascii="Merriweather" w:cs="Merriweather" w:eastAsia="Merriweather" w:hAnsi="Merriweather"/>
                <w:sz w:val="18"/>
                <w:szCs w:val="18"/>
              </w:rPr>
            </w:pPr>
            <w:r w:rsidDel="00000000" w:rsidR="00000000" w:rsidRPr="00000000">
              <w:rPr>
                <w:rtl w:val="0"/>
              </w:rPr>
            </w:r>
          </w:p>
          <w:p w:rsidR="00000000" w:rsidDel="00000000" w:rsidP="00000000" w:rsidRDefault="00000000" w:rsidRPr="00000000" w14:paraId="00000029">
            <w:pPr>
              <w:ind w:left="0" w:firstLine="0"/>
              <w:rPr>
                <w:rFonts w:ascii="Merriweather" w:cs="Merriweather" w:eastAsia="Merriweather" w:hAnsi="Merriweather"/>
                <w:i w:val="1"/>
                <w:sz w:val="18"/>
                <w:szCs w:val="18"/>
              </w:rPr>
            </w:pPr>
            <w:r w:rsidDel="00000000" w:rsidR="00000000" w:rsidRPr="00000000">
              <w:rPr>
                <w:rtl w:val="0"/>
              </w:rPr>
            </w:r>
          </w:p>
        </w:tc>
      </w:tr>
      <w:tr>
        <w:trPr>
          <w:trHeight w:val="3540" w:hRule="atLeast"/>
        </w:trPr>
        <w:tc>
          <w:tcPr>
            <w:gridSpan w:val="2"/>
            <w:shd w:fill="auto" w:val="clear"/>
          </w:tcPr>
          <w:p w:rsidR="00000000" w:rsidDel="00000000" w:rsidP="00000000" w:rsidRDefault="00000000" w:rsidRPr="00000000" w14:paraId="0000002B">
            <w:pPr>
              <w:numPr>
                <w:ilvl w:val="0"/>
                <w:numId w:val="3"/>
              </w:numPr>
              <w:ind w:left="360" w:hanging="360"/>
              <w:rPr>
                <w:rFonts w:ascii="Merriweather" w:cs="Merriweather" w:eastAsia="Merriweather" w:hAnsi="Merriweather"/>
                <w:b w:val="1"/>
              </w:rPr>
            </w:pPr>
            <w:r w:rsidDel="00000000" w:rsidR="00000000" w:rsidRPr="00000000">
              <w:rPr>
                <w:rFonts w:ascii="Merriweather" w:cs="Merriweather" w:eastAsia="Merriweather" w:hAnsi="Merriweather"/>
                <w:b w:val="1"/>
                <w:rtl w:val="0"/>
              </w:rPr>
              <w:t xml:space="preserve">Evidence/artifacts that align to school vision and mission. </w:t>
            </w:r>
          </w:p>
          <w:p w:rsidR="00000000" w:rsidDel="00000000" w:rsidP="00000000" w:rsidRDefault="00000000" w:rsidRPr="00000000" w14:paraId="0000002C">
            <w:pPr>
              <w:widowControl w:val="0"/>
              <w:spacing w:before="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spacing w:before="0" w:line="480" w:lineRule="auto"/>
              <w:ind w:left="0" w:firstLine="0"/>
              <w:rPr>
                <w:rFonts w:ascii="Merriweather" w:cs="Merriweather" w:eastAsia="Merriweather" w:hAnsi="Merriweather"/>
                <w:sz w:val="20"/>
                <w:szCs w:val="20"/>
              </w:rPr>
            </w:pPr>
            <w:r w:rsidDel="00000000" w:rsidR="00000000" w:rsidRPr="00000000">
              <w:rPr>
                <w:rFonts w:ascii="Times New Roman" w:cs="Times New Roman" w:eastAsia="Times New Roman" w:hAnsi="Times New Roman"/>
                <w:sz w:val="24"/>
                <w:szCs w:val="24"/>
                <w:rtl w:val="0"/>
              </w:rPr>
              <w:t xml:space="preserve">At Toms River High School East, our vision is that every Toms River East student will achieve personal success and will become a responsible and productive citizen. Our mission is that Toms River East is dedicated to working with the school community to provide a safe educational environment where students are stimulated to become lifelong learners, equipped with the knowledge and analytical communication, and interpersonal skills to meet the demands of college and/or careers as informed citizens in a globally competitive market. This event directly corresponds with the mission of our school and supports the importance of an effective professional development program that aligns and supports the school’s continuous improvement plan. </w:t>
            </w:r>
            <w:r w:rsidDel="00000000" w:rsidR="00000000" w:rsidRPr="00000000">
              <w:rPr>
                <w:rFonts w:ascii="Merriweather" w:cs="Merriweather" w:eastAsia="Merriweather" w:hAnsi="Merriweather"/>
                <w:sz w:val="20"/>
                <w:szCs w:val="20"/>
                <w:rtl w:val="0"/>
              </w:rPr>
              <w:br w:type="textWrapping"/>
            </w:r>
          </w:p>
          <w:p w:rsidR="00000000" w:rsidDel="00000000" w:rsidP="00000000" w:rsidRDefault="00000000" w:rsidRPr="00000000" w14:paraId="0000002E">
            <w:pPr>
              <w:widowControl w:val="0"/>
              <w:spacing w:before="0" w:lineRule="auto"/>
              <w:ind w:left="0" w:firstLine="0"/>
              <w:rPr>
                <w:rFonts w:ascii="Merriweather" w:cs="Merriweather" w:eastAsia="Merriweather" w:hAnsi="Merriweather"/>
                <w:sz w:val="20"/>
                <w:szCs w:val="20"/>
              </w:rPr>
            </w:pPr>
            <w:r w:rsidDel="00000000" w:rsidR="00000000" w:rsidRPr="00000000">
              <w:rPr>
                <w:rtl w:val="0"/>
              </w:rPr>
            </w:r>
          </w:p>
        </w:tc>
      </w:tr>
      <w:tr>
        <w:trPr>
          <w:trHeight w:val="1280" w:hRule="atLeast"/>
        </w:trPr>
        <w:tc>
          <w:tcPr>
            <w:gridSpan w:val="2"/>
            <w:shd w:fill="e5dfec" w:val="clear"/>
          </w:tcPr>
          <w:p w:rsidR="00000000" w:rsidDel="00000000" w:rsidP="00000000" w:rsidRDefault="00000000" w:rsidRPr="00000000" w14:paraId="00000030">
            <w:pPr>
              <w:numPr>
                <w:ilvl w:val="0"/>
                <w:numId w:val="3"/>
              </w:numPr>
              <w:ind w:left="360" w:hanging="360"/>
              <w:rPr>
                <w:rFonts w:ascii="Merriweather" w:cs="Merriweather" w:eastAsia="Merriweather" w:hAnsi="Merriweather"/>
                <w:b w:val="1"/>
              </w:rPr>
            </w:pPr>
            <w:r w:rsidDel="00000000" w:rsidR="00000000" w:rsidRPr="00000000">
              <w:rPr>
                <w:rFonts w:ascii="Merriweather" w:cs="Merriweather" w:eastAsia="Merriweather" w:hAnsi="Merriweather"/>
                <w:b w:val="1"/>
                <w:rtl w:val="0"/>
              </w:rPr>
              <w:t xml:space="preserve">Notes/Comments:</w:t>
            </w:r>
          </w:p>
          <w:p w:rsidR="00000000" w:rsidDel="00000000" w:rsidP="00000000" w:rsidRDefault="00000000" w:rsidRPr="00000000" w14:paraId="0000003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w:t>
              <w:br w:type="textWrapping"/>
            </w:r>
          </w:p>
          <w:p w:rsidR="00000000" w:rsidDel="00000000" w:rsidP="00000000" w:rsidRDefault="00000000" w:rsidRPr="00000000" w14:paraId="00000032">
            <w:pPr>
              <w:spacing w:before="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Blackburn, B. R., &amp; Williamson, R. (2010). Pressing Forward with Professional Development. </w:t>
            </w:r>
            <w:r w:rsidDel="00000000" w:rsidR="00000000" w:rsidRPr="00000000">
              <w:rPr>
                <w:rFonts w:ascii="Times New Roman" w:cs="Times New Roman" w:eastAsia="Times New Roman" w:hAnsi="Times New Roman"/>
                <w:i w:val="1"/>
                <w:sz w:val="24"/>
                <w:szCs w:val="24"/>
                <w:rtl w:val="0"/>
              </w:rPr>
              <w:t xml:space="preserve">Principal Leadership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(5), 68–70. Retrieved from https://search-ebscohost-com.lopes.idm.oclc.org/login.aspx?direct=true&amp;db=eric&amp;AN=EJ894650&amp;site=ehost-live&amp;scope=site</w:t>
            </w:r>
            <w:r w:rsidDel="00000000" w:rsidR="00000000" w:rsidRPr="00000000">
              <w:rPr>
                <w:rtl w:val="0"/>
              </w:rPr>
            </w:r>
          </w:p>
          <w:p w:rsidR="00000000" w:rsidDel="00000000" w:rsidP="00000000" w:rsidRDefault="00000000" w:rsidRPr="00000000" w14:paraId="00000033">
            <w:pPr>
              <w:ind w:left="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5">
      <w:pPr>
        <w:jc w:val="center"/>
        <w:rPr>
          <w:rFonts w:ascii="Merriweather" w:cs="Merriweather" w:eastAsia="Merriweather" w:hAnsi="Merriweather"/>
        </w:rPr>
      </w:pPr>
      <w:r w:rsidDel="00000000" w:rsidR="00000000" w:rsidRPr="00000000">
        <w:rPr>
          <w:rFonts w:ascii="Merriweather" w:cs="Merriweather" w:eastAsia="Merriweather" w:hAnsi="Merriweather"/>
          <w:sz w:val="22"/>
          <w:szCs w:val="22"/>
          <w:rtl w:val="0"/>
        </w:rPr>
        <w:t xml:space="preserve">©2015. Grand Canyon University. All rights reserved.</w:t>
      </w: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color w:val="000000"/>
      </w:rPr>
    </w:pPr>
    <w:r w:rsidDel="00000000" w:rsidR="00000000" w:rsidRPr="00000000">
      <w:rPr>
        <w:color w:val="000000"/>
      </w:rPr>
      <w:drawing>
        <wp:inline distB="0" distT="0" distL="0" distR="0">
          <wp:extent cx="2598473" cy="58102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98473"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360" w:hanging="36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before="110" w:line="240" w:lineRule="auto"/>
      <w:ind w:left="720" w:hanging="36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